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关于2019年第4批资助优秀研究生赴国外参加国际学术会议基金</w:t>
      </w:r>
    </w:p>
    <w:p>
      <w:pPr>
        <w:pStyle w:val="2"/>
        <w:widowControl/>
        <w:jc w:val="center"/>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申请的通知</w:t>
      </w:r>
    </w:p>
    <w:p>
      <w:pPr>
        <w:pStyle w:val="6"/>
        <w:widowControl/>
        <w:spacing w:line="288" w:lineRule="auto"/>
        <w:rPr>
          <w:rFonts w:asciiTheme="minorEastAsia" w:hAnsiTheme="minorEastAsia" w:cstheme="minorEastAsia"/>
          <w:spacing w:val="15"/>
          <w:sz w:val="21"/>
          <w:szCs w:val="21"/>
        </w:rPr>
      </w:pPr>
    </w:p>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各学院（系、所）：</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为提高研究生培养质量，促进国际交流与合作，为研究生拓宽学术视野、活跃学术思想，研究生院将继续设立2019年研究生参加国际学术会议奖励基金（第4批）。兹将有关具体事宜及要求通知如下：</w:t>
      </w:r>
    </w:p>
    <w:p>
      <w:pPr>
        <w:pStyle w:val="6"/>
        <w:widowControl/>
        <w:spacing w:line="288" w:lineRule="auto"/>
        <w:ind w:firstLine="420"/>
        <w:rPr>
          <w:rFonts w:asciiTheme="minorEastAsia" w:hAnsiTheme="minorEastAsia" w:cstheme="minorEastAsia"/>
          <w:sz w:val="21"/>
          <w:szCs w:val="21"/>
        </w:rPr>
      </w:pPr>
      <w:r>
        <w:rPr>
          <w:rStyle w:val="9"/>
          <w:rFonts w:hint="eastAsia" w:asciiTheme="minorEastAsia" w:hAnsiTheme="minorEastAsia" w:cstheme="minorEastAsia"/>
          <w:sz w:val="21"/>
          <w:szCs w:val="21"/>
        </w:rPr>
        <w:t>一、资助对象和资助条件</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1.申请资助的</w:t>
      </w:r>
      <w:r>
        <w:rPr>
          <w:rStyle w:val="9"/>
          <w:rFonts w:hint="eastAsia" w:asciiTheme="minorEastAsia" w:hAnsiTheme="minorEastAsia" w:cstheme="minorEastAsia"/>
          <w:spacing w:val="15"/>
          <w:sz w:val="21"/>
          <w:szCs w:val="21"/>
        </w:rPr>
        <w:t>博士、硕士研究生</w:t>
      </w:r>
      <w:r>
        <w:rPr>
          <w:rFonts w:hint="eastAsia" w:asciiTheme="minorEastAsia" w:hAnsiTheme="minorEastAsia" w:cstheme="minorEastAsia"/>
          <w:spacing w:val="15"/>
          <w:sz w:val="21"/>
          <w:szCs w:val="21"/>
        </w:rPr>
        <w:t>应同时具备以下条件：</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 xml:space="preserve">（1）热爱祖国，拥护中国共产党领导，思想政治素质优秀；遵守国家法律、法规，遵守公民道德规范，遵守学校管理制度，自觉践行社会主义核心价值观； </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（2）全日制脱产非定向委培博士生、硕士生，申请人为二年级及以上在读。</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（3）恪守学术道德规范，具有较强的科研能力和外语交流能力；就读以来有较好的学习成绩与科研业绩，无课程不及格记录；</w:t>
      </w:r>
    </w:p>
    <w:p>
      <w:pPr>
        <w:pStyle w:val="6"/>
        <w:widowControl/>
        <w:spacing w:line="288" w:lineRule="auto"/>
        <w:ind w:firstLine="420"/>
        <w:rPr>
          <w:rFonts w:asciiTheme="minorEastAsia" w:hAnsiTheme="minorEastAsia" w:cstheme="minorEastAsia"/>
          <w:b/>
          <w:bCs/>
          <w:sz w:val="21"/>
          <w:szCs w:val="21"/>
        </w:rPr>
      </w:pPr>
      <w:r>
        <w:rPr>
          <w:rFonts w:hint="eastAsia" w:asciiTheme="minorEastAsia" w:hAnsiTheme="minorEastAsia" w:cstheme="minorEastAsia"/>
          <w:spacing w:val="15"/>
          <w:sz w:val="21"/>
          <w:szCs w:val="21"/>
        </w:rPr>
        <w:t>（4）以第一作者（或导师第一作者,申请人为第二作者）撰写并以同济大学为第一署名及通讯作者单位的学术论文或摘要，被在国外举行的本学科领域权威的国际学术会议录用，且该会议被列入《同济大学各院系(学科)研究生重要国际学术会议目录》；</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（5）参加国际学术会议的内容必须与学位论文研究有关；</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（6）资助的国际会议必须为2019年期间在国外（不含港、澳、台地区）召开的学术会议，申请人必须被邀请在会议上作口头报告或张贴海报；</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（7）身心健康。</w:t>
      </w:r>
    </w:p>
    <w:p>
      <w:pPr>
        <w:pStyle w:val="6"/>
        <w:widowControl/>
        <w:spacing w:line="288" w:lineRule="auto"/>
        <w:ind w:firstLine="420"/>
        <w:rPr>
          <w:rFonts w:asciiTheme="minorEastAsia" w:hAnsiTheme="minorEastAsia" w:cstheme="minorEastAsia"/>
          <w:sz w:val="21"/>
          <w:szCs w:val="21"/>
          <w:highlight w:val="yellow"/>
        </w:rPr>
      </w:pPr>
      <w:r>
        <w:rPr>
          <w:rFonts w:hint="eastAsia" w:asciiTheme="minorEastAsia" w:hAnsiTheme="minorEastAsia" w:cstheme="minorEastAsia"/>
          <w:b/>
          <w:spacing w:val="15"/>
          <w:sz w:val="21"/>
          <w:szCs w:val="21"/>
        </w:rPr>
        <w:t>2.每位研究生在学期间获得该项资助次数累积不超过两次,参加顶级会议</w:t>
      </w:r>
      <w:r>
        <w:rPr>
          <w:rFonts w:asciiTheme="minorEastAsia" w:hAnsiTheme="minorEastAsia" w:cstheme="minorEastAsia"/>
          <w:b/>
          <w:spacing w:val="15"/>
          <w:sz w:val="21"/>
          <w:szCs w:val="21"/>
        </w:rPr>
        <w:t>及</w:t>
      </w:r>
      <w:r>
        <w:rPr>
          <w:rFonts w:hint="eastAsia" w:asciiTheme="minorEastAsia" w:hAnsiTheme="minorEastAsia" w:cstheme="minorEastAsia"/>
          <w:b/>
          <w:spacing w:val="15"/>
          <w:sz w:val="21"/>
          <w:szCs w:val="21"/>
        </w:rPr>
        <w:t>未</w:t>
      </w:r>
      <w:r>
        <w:rPr>
          <w:rFonts w:asciiTheme="minorEastAsia" w:hAnsiTheme="minorEastAsia" w:cstheme="minorEastAsia"/>
          <w:b/>
          <w:spacing w:val="15"/>
          <w:sz w:val="21"/>
          <w:szCs w:val="21"/>
        </w:rPr>
        <w:t>获得过资助的</w:t>
      </w:r>
      <w:r>
        <w:rPr>
          <w:rFonts w:hint="eastAsia" w:asciiTheme="minorEastAsia" w:hAnsiTheme="minorEastAsia" w:cstheme="minorEastAsia"/>
          <w:b/>
          <w:spacing w:val="15"/>
          <w:sz w:val="21"/>
          <w:szCs w:val="21"/>
        </w:rPr>
        <w:t>申请</w:t>
      </w:r>
      <w:r>
        <w:rPr>
          <w:rFonts w:asciiTheme="minorEastAsia" w:hAnsiTheme="minorEastAsia" w:cstheme="minorEastAsia"/>
          <w:b/>
          <w:spacing w:val="15"/>
          <w:sz w:val="21"/>
          <w:szCs w:val="21"/>
        </w:rPr>
        <w:t>优先考虑</w:t>
      </w:r>
      <w:r>
        <w:rPr>
          <w:rFonts w:hint="eastAsia" w:asciiTheme="minorEastAsia" w:hAnsiTheme="minorEastAsia" w:cstheme="minorEastAsia"/>
          <w:spacing w:val="15"/>
          <w:sz w:val="21"/>
          <w:szCs w:val="21"/>
        </w:rPr>
        <w:t>。</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3.每位研究生导师指导的在读研究生仅限2名成功申请同一次国际学术会议的资助，如顶级会议可酌情放宽至4人。</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4.本次申请不包括会议期间正在境外学习的人员或已获得过学校同类资助出国的人员。</w:t>
      </w:r>
    </w:p>
    <w:p>
      <w:pPr>
        <w:pStyle w:val="6"/>
        <w:widowControl/>
        <w:spacing w:line="288" w:lineRule="auto"/>
        <w:ind w:firstLine="420"/>
        <w:rPr>
          <w:rFonts w:asciiTheme="minorEastAsia" w:hAnsiTheme="minorEastAsia" w:cstheme="minorEastAsia"/>
          <w:sz w:val="21"/>
          <w:szCs w:val="21"/>
        </w:rPr>
      </w:pPr>
      <w:r>
        <w:rPr>
          <w:rStyle w:val="9"/>
          <w:rFonts w:hint="eastAsia" w:asciiTheme="minorEastAsia" w:hAnsiTheme="minorEastAsia" w:cstheme="minorEastAsia"/>
          <w:sz w:val="21"/>
          <w:szCs w:val="21"/>
        </w:rPr>
        <w:t>二、申请和评审程序</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1.研究生国际学术会议专项资助采取“个人申请，导师及院系推荐排序、专家评审复核，择优录取”的方式进行选拔。由研究生院组织专家评审，根据专家评审意见确立获准资助的人选名单、资助内容及资助额度并予以公布。</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2.研究生院负责受理研究生参加国际学术会议资助的申请。2019年第4批需在10月25日前，申请人向</w:t>
      </w:r>
      <w:r>
        <w:rPr>
          <w:rFonts w:hint="eastAsia" w:asciiTheme="minorEastAsia" w:hAnsiTheme="minorEastAsia" w:cstheme="minorEastAsia"/>
          <w:spacing w:val="15"/>
          <w:sz w:val="21"/>
          <w:szCs w:val="21"/>
          <w:lang w:eastAsia="zh-CN"/>
        </w:rPr>
        <w:t>喻菲老师（开物馆</w:t>
      </w:r>
      <w:r>
        <w:rPr>
          <w:rFonts w:hint="eastAsia" w:asciiTheme="minorEastAsia" w:hAnsiTheme="minorEastAsia" w:cstheme="minorEastAsia"/>
          <w:spacing w:val="15"/>
          <w:sz w:val="21"/>
          <w:szCs w:val="21"/>
          <w:lang w:val="en-US" w:eastAsia="zh-CN"/>
        </w:rPr>
        <w:t>A410</w:t>
      </w:r>
      <w:r>
        <w:rPr>
          <w:rFonts w:hint="eastAsia" w:asciiTheme="minorEastAsia" w:hAnsiTheme="minorEastAsia" w:cstheme="minorEastAsia"/>
          <w:spacing w:val="15"/>
          <w:sz w:val="21"/>
          <w:szCs w:val="21"/>
          <w:lang w:eastAsia="zh-CN"/>
        </w:rPr>
        <w:t>）</w:t>
      </w:r>
      <w:r>
        <w:rPr>
          <w:rFonts w:hint="eastAsia" w:asciiTheme="minorEastAsia" w:hAnsiTheme="minorEastAsia" w:cstheme="minorEastAsia"/>
          <w:spacing w:val="15"/>
          <w:sz w:val="21"/>
          <w:szCs w:val="21"/>
        </w:rPr>
        <w:t xml:space="preserve">提交如下书面申请材料： </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（1）填写附件中《同济大学研究生赴国外参加国际学术会议资助申请表》（请认真填写，确保信息准确）；</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（2）由会议主办方出具的会议征文通知（大会简介）、正式邀请信函、</w:t>
      </w:r>
      <w:r>
        <w:rPr>
          <w:rStyle w:val="9"/>
          <w:rFonts w:hint="eastAsia" w:asciiTheme="minorEastAsia" w:hAnsiTheme="minorEastAsia" w:cstheme="minorEastAsia"/>
          <w:spacing w:val="15"/>
          <w:sz w:val="21"/>
          <w:szCs w:val="21"/>
        </w:rPr>
        <w:t>论文录用情况证明</w:t>
      </w:r>
      <w:r>
        <w:rPr>
          <w:rStyle w:val="9"/>
          <w:rFonts w:hint="eastAsia" w:asciiTheme="minorEastAsia" w:hAnsiTheme="minorEastAsia" w:cstheme="minorEastAsia"/>
          <w:b w:val="0"/>
          <w:bCs/>
          <w:spacing w:val="15"/>
          <w:sz w:val="21"/>
          <w:szCs w:val="21"/>
        </w:rPr>
        <w:t>（需明确注明被安排为口头/展板报告，而非仅仅摘要接收函）</w:t>
      </w:r>
      <w:r>
        <w:rPr>
          <w:rFonts w:hint="eastAsia" w:asciiTheme="minorEastAsia" w:hAnsiTheme="minorEastAsia" w:cstheme="minorEastAsia"/>
          <w:spacing w:val="15"/>
          <w:sz w:val="21"/>
          <w:szCs w:val="21"/>
        </w:rPr>
        <w:t>、会议安排、申请者宣读论文或张贴海报的时间安排表、会议网址等，为便于审核，</w:t>
      </w:r>
      <w:r>
        <w:rPr>
          <w:rStyle w:val="9"/>
          <w:rFonts w:hint="eastAsia" w:asciiTheme="minorEastAsia" w:hAnsiTheme="minorEastAsia" w:cstheme="minorEastAsia"/>
          <w:spacing w:val="15"/>
          <w:sz w:val="21"/>
          <w:szCs w:val="21"/>
        </w:rPr>
        <w:t>请务必用记号笔标注出本人报告形式及报告具体安排等相关重要信息</w:t>
      </w:r>
      <w:r>
        <w:rPr>
          <w:rFonts w:hint="eastAsia" w:asciiTheme="minorEastAsia" w:hAnsiTheme="minorEastAsia" w:cstheme="minorEastAsia"/>
          <w:spacing w:val="15"/>
          <w:sz w:val="21"/>
          <w:szCs w:val="21"/>
        </w:rPr>
        <w:t>；</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（3）</w:t>
      </w:r>
      <w:r>
        <w:rPr>
          <w:rFonts w:hint="eastAsia" w:asciiTheme="minorEastAsia" w:hAnsiTheme="minorEastAsia" w:cstheme="minorEastAsia"/>
          <w:b/>
          <w:bCs/>
          <w:spacing w:val="15"/>
          <w:sz w:val="21"/>
          <w:szCs w:val="21"/>
        </w:rPr>
        <w:t>会议论文全文</w:t>
      </w:r>
      <w:r>
        <w:rPr>
          <w:rFonts w:hint="eastAsia" w:asciiTheme="minorEastAsia" w:hAnsiTheme="minorEastAsia" w:cstheme="minorEastAsia"/>
          <w:spacing w:val="15"/>
          <w:sz w:val="21"/>
          <w:szCs w:val="21"/>
        </w:rPr>
        <w:t xml:space="preserve">（材料须体现出该论文本人为第一作者，且第一署名单位为同济大学；或本人导师为第一作者，本人为第二作者，且第一、第二作者署名单位均为同济大学），且被国际学术会议正式录用，并被安排会议宣读或张贴海报； </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（4）英语水平证明复印件；</w:t>
      </w:r>
    </w:p>
    <w:p>
      <w:pPr>
        <w:pStyle w:val="6"/>
        <w:widowControl/>
        <w:spacing w:line="288" w:lineRule="auto"/>
        <w:ind w:firstLine="420"/>
        <w:rPr>
          <w:rFonts w:asciiTheme="minorEastAsia" w:hAnsiTheme="minorEastAsia" w:cstheme="minorEastAsia"/>
          <w:spacing w:val="15"/>
          <w:sz w:val="21"/>
          <w:szCs w:val="21"/>
        </w:rPr>
      </w:pPr>
      <w:r>
        <w:rPr>
          <w:rFonts w:hint="eastAsia" w:asciiTheme="minorEastAsia" w:hAnsiTheme="minorEastAsia" w:cstheme="minorEastAsia"/>
          <w:spacing w:val="15"/>
          <w:sz w:val="21"/>
          <w:szCs w:val="21"/>
        </w:rPr>
        <w:t>（5）同济大学出国任务批件复印件（已参加过会议的必须提供）；</w:t>
      </w:r>
    </w:p>
    <w:p>
      <w:pPr>
        <w:pStyle w:val="6"/>
        <w:widowControl/>
        <w:spacing w:line="288" w:lineRule="auto"/>
        <w:ind w:firstLine="420"/>
        <w:rPr>
          <w:rFonts w:asciiTheme="minorEastAsia" w:hAnsiTheme="minorEastAsia" w:cstheme="minorEastAsia"/>
          <w:b/>
          <w:bCs/>
          <w:spacing w:val="15"/>
          <w:sz w:val="21"/>
          <w:szCs w:val="21"/>
        </w:rPr>
      </w:pPr>
      <w:r>
        <w:rPr>
          <w:rFonts w:hint="eastAsia" w:asciiTheme="minorEastAsia" w:hAnsiTheme="minorEastAsia" w:cstheme="minorEastAsia"/>
          <w:spacing w:val="15"/>
          <w:sz w:val="21"/>
          <w:szCs w:val="21"/>
        </w:rPr>
        <w:t>（6）</w:t>
      </w:r>
      <w:r>
        <w:rPr>
          <w:rFonts w:hint="eastAsia" w:asciiTheme="minorEastAsia" w:hAnsiTheme="minorEastAsia" w:cstheme="minorEastAsia"/>
          <w:b/>
          <w:bCs/>
          <w:spacing w:val="15"/>
          <w:sz w:val="21"/>
          <w:szCs w:val="21"/>
        </w:rPr>
        <w:t>尚未参会的申请人需告知签证情况，并确保能按期出访。</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3.10月31日前，各学院（系、所）负责研究生公派项目的老师将学生申请材料及盖章后的汇总表（按照推荐优先顺序）交至研究生院506,汇总表电子版发至</w:t>
      </w:r>
      <w:r>
        <w:fldChar w:fldCharType="begin"/>
      </w:r>
      <w:r>
        <w:instrText xml:space="preserve"> HYPERLINK "mailto:pyc@tongji.edu.cn" </w:instrText>
      </w:r>
      <w:r>
        <w:fldChar w:fldCharType="separate"/>
      </w:r>
      <w:r>
        <w:rPr>
          <w:rStyle w:val="11"/>
          <w:rFonts w:hint="eastAsia" w:asciiTheme="minorEastAsia" w:hAnsiTheme="minorEastAsia" w:cstheme="minorEastAsia"/>
          <w:color w:val="auto"/>
          <w:spacing w:val="15"/>
        </w:rPr>
        <w:t>pyc@tongji.edu.cn</w:t>
      </w:r>
      <w:r>
        <w:rPr>
          <w:rStyle w:val="11"/>
          <w:rFonts w:hint="eastAsia" w:asciiTheme="minorEastAsia" w:hAnsiTheme="minorEastAsia" w:cstheme="minorEastAsia"/>
          <w:color w:val="auto"/>
          <w:spacing w:val="15"/>
        </w:rPr>
        <w:fldChar w:fldCharType="end"/>
      </w:r>
      <w:r>
        <w:rPr>
          <w:rFonts w:hint="eastAsia" w:asciiTheme="minorEastAsia" w:hAnsiTheme="minorEastAsia" w:cstheme="minorEastAsia"/>
          <w:spacing w:val="15"/>
          <w:sz w:val="21"/>
          <w:szCs w:val="21"/>
        </w:rPr>
        <w:t>。</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4.11月1日至11月12日，研究生院对材料进行初审并组织专家依据申请材料评审。</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5.11月15日前，资助结果在研究生教育管理信息系统 http://yjsxt.tongji.edu.cn/上公布，并发布行前会议通知。根据实际工作安排，资助结果公布时间可能略有调整，敬请留意</w:t>
      </w:r>
      <w:r>
        <w:rPr>
          <w:rFonts w:hint="eastAsia" w:ascii="Times New Roman" w:hAnsi="Times New Roman"/>
          <w:spacing w:val="20"/>
          <w:sz w:val="21"/>
          <w:szCs w:val="21"/>
        </w:rPr>
        <w:t>研究生教育管理信息系统网站发布的信息</w:t>
      </w:r>
      <w:r>
        <w:rPr>
          <w:rFonts w:hint="eastAsia" w:asciiTheme="minorEastAsia" w:hAnsiTheme="minorEastAsia" w:cstheme="minorEastAsia"/>
          <w:spacing w:val="15"/>
          <w:sz w:val="21"/>
          <w:szCs w:val="21"/>
        </w:rPr>
        <w:t>。</w:t>
      </w:r>
    </w:p>
    <w:p>
      <w:pPr>
        <w:pStyle w:val="6"/>
        <w:widowControl/>
        <w:spacing w:line="288" w:lineRule="auto"/>
        <w:ind w:firstLine="420"/>
        <w:rPr>
          <w:rFonts w:asciiTheme="minorEastAsia" w:hAnsiTheme="minorEastAsia" w:cstheme="minorEastAsia"/>
          <w:sz w:val="21"/>
          <w:szCs w:val="21"/>
        </w:rPr>
      </w:pPr>
      <w:r>
        <w:rPr>
          <w:rStyle w:val="9"/>
          <w:rFonts w:hint="eastAsia" w:asciiTheme="minorEastAsia" w:hAnsiTheme="minorEastAsia" w:cstheme="minorEastAsia"/>
          <w:sz w:val="21"/>
          <w:szCs w:val="21"/>
        </w:rPr>
        <w:t>三、资助内容</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1.研究生国际会议费用资助用于出国费用含国际旅费、城市间交通费、住宿费、会议注册费、签证费、保险费等合理费用。国际旅费是指申请人居住地到国际会议举行所在城市之间一次国际往返旅费，原则上国际机票应在我国航空公司运营的国际航线预定。</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2.</w:t>
      </w:r>
      <w:r>
        <w:rPr>
          <w:rFonts w:hint="eastAsia" w:asciiTheme="minorEastAsia" w:hAnsiTheme="minorEastAsia" w:cstheme="minorEastAsia"/>
          <w:b/>
          <w:bCs/>
          <w:spacing w:val="15"/>
          <w:sz w:val="21"/>
          <w:szCs w:val="21"/>
        </w:rPr>
        <w:t>申请参加的国际会议必须列入《同济大学各院系(学科)研究生重要国际学术会议目录》（2015年12月修订版请见附件）。</w:t>
      </w:r>
      <w:r>
        <w:rPr>
          <w:rFonts w:hint="eastAsia" w:asciiTheme="minorEastAsia" w:hAnsiTheme="minorEastAsia" w:cstheme="minorEastAsia"/>
          <w:spacing w:val="15"/>
          <w:sz w:val="21"/>
          <w:szCs w:val="21"/>
        </w:rPr>
        <w:t>国际学术会议目前是按学科分为顶级会议（代表本学科领域最高水平的国际会议）、A类会议（代表本学科高水平国际会议）、B类会议（学术水平较高、按一定时间间隔规范化、系列性召开的国际会议）。会议资助额度上限将按照会议等级和举办地区而定，优先资助等级高的会议，详情见下表：</w:t>
      </w:r>
    </w:p>
    <w:p>
      <w:pPr>
        <w:pStyle w:val="6"/>
        <w:widowControl/>
        <w:spacing w:line="288" w:lineRule="auto"/>
        <w:jc w:val="center"/>
        <w:rPr>
          <w:rStyle w:val="9"/>
          <w:rFonts w:asciiTheme="minorEastAsia" w:hAnsiTheme="minorEastAsia" w:cstheme="minorEastAsia"/>
          <w:spacing w:val="15"/>
          <w:sz w:val="21"/>
          <w:szCs w:val="21"/>
        </w:rPr>
      </w:pPr>
    </w:p>
    <w:p>
      <w:pPr>
        <w:pStyle w:val="6"/>
        <w:widowControl/>
        <w:spacing w:line="288" w:lineRule="auto"/>
        <w:jc w:val="center"/>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表 国际会议资助额度限额</w:t>
      </w:r>
    </w:p>
    <w:tbl>
      <w:tblPr>
        <w:tblStyle w:val="7"/>
        <w:tblW w:w="8505" w:type="dxa"/>
        <w:tblCellSpacing w:w="0" w:type="dxa"/>
        <w:tblInd w:w="15" w:type="dxa"/>
        <w:tblLayout w:type="fixed"/>
        <w:tblCellMar>
          <w:top w:w="0" w:type="dxa"/>
          <w:left w:w="0" w:type="dxa"/>
          <w:bottom w:w="0" w:type="dxa"/>
          <w:right w:w="0" w:type="dxa"/>
        </w:tblCellMar>
      </w:tblPr>
      <w:tblGrid>
        <w:gridCol w:w="1155"/>
        <w:gridCol w:w="1560"/>
        <w:gridCol w:w="915"/>
        <w:gridCol w:w="1035"/>
        <w:gridCol w:w="1065"/>
        <w:gridCol w:w="1140"/>
        <w:gridCol w:w="1635"/>
      </w:tblGrid>
      <w:tr>
        <w:tblPrEx>
          <w:tblLayout w:type="fixed"/>
          <w:tblCellMar>
            <w:top w:w="0" w:type="dxa"/>
            <w:left w:w="0" w:type="dxa"/>
            <w:bottom w:w="0" w:type="dxa"/>
            <w:right w:w="0" w:type="dxa"/>
          </w:tblCellMar>
        </w:tblPrEx>
        <w:trPr>
          <w:trHeight w:val="525" w:hRule="atLeast"/>
          <w:tblCellSpacing w:w="0" w:type="dxa"/>
        </w:trPr>
        <w:tc>
          <w:tcPr>
            <w:tcW w:w="115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会议举办地区</w:t>
            </w:r>
          </w:p>
        </w:tc>
        <w:tc>
          <w:tcPr>
            <w:tcW w:w="15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可用于报销内容</w:t>
            </w:r>
          </w:p>
        </w:tc>
        <w:tc>
          <w:tcPr>
            <w:tcW w:w="19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顶级会议</w:t>
            </w:r>
          </w:p>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（万元/人）</w:t>
            </w:r>
          </w:p>
        </w:tc>
        <w:tc>
          <w:tcPr>
            <w:tcW w:w="220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A类会议</w:t>
            </w:r>
          </w:p>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（万元/人）</w:t>
            </w:r>
          </w:p>
        </w:tc>
        <w:tc>
          <w:tcPr>
            <w:tcW w:w="1635" w:type="dxa"/>
            <w:tcBorders>
              <w:top w:val="single" w:color="auto" w:sz="6" w:space="0"/>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B类会议</w:t>
            </w:r>
          </w:p>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（万元/人）</w:t>
            </w:r>
          </w:p>
        </w:tc>
      </w:tr>
      <w:tr>
        <w:tblPrEx>
          <w:tblLayout w:type="fixed"/>
          <w:tblCellMar>
            <w:top w:w="0" w:type="dxa"/>
            <w:left w:w="0" w:type="dxa"/>
            <w:bottom w:w="0" w:type="dxa"/>
            <w:right w:w="0" w:type="dxa"/>
          </w:tblCellMar>
        </w:tblPrEx>
        <w:trPr>
          <w:trHeight w:val="181" w:hRule="atLeast"/>
          <w:tblCellSpacing w:w="0" w:type="dxa"/>
        </w:trPr>
        <w:tc>
          <w:tcPr>
            <w:tcW w:w="115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rPr>
                <w:rFonts w:asciiTheme="minorEastAsia" w:hAnsiTheme="minorEastAsia" w:cstheme="minorEastAsia"/>
                <w:szCs w:val="21"/>
              </w:rPr>
            </w:pPr>
          </w:p>
        </w:tc>
        <w:tc>
          <w:tcPr>
            <w:tcW w:w="15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tcPr>
          <w:p>
            <w:pPr>
              <w:rPr>
                <w:rFonts w:asciiTheme="minorEastAsia" w:hAnsiTheme="minorEastAsia" w:cstheme="minorEastAsia"/>
                <w:szCs w:val="21"/>
              </w:rPr>
            </w:pPr>
          </w:p>
        </w:tc>
        <w:tc>
          <w:tcPr>
            <w:tcW w:w="91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宣读</w:t>
            </w:r>
          </w:p>
        </w:tc>
        <w:tc>
          <w:tcPr>
            <w:tcW w:w="10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海报</w:t>
            </w:r>
          </w:p>
        </w:tc>
        <w:tc>
          <w:tcPr>
            <w:tcW w:w="106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宣读</w:t>
            </w:r>
          </w:p>
        </w:tc>
        <w:tc>
          <w:tcPr>
            <w:tcW w:w="1140"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海报</w:t>
            </w:r>
          </w:p>
        </w:tc>
        <w:tc>
          <w:tcPr>
            <w:tcW w:w="16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宣读</w:t>
            </w:r>
          </w:p>
        </w:tc>
      </w:tr>
      <w:tr>
        <w:tblPrEx>
          <w:tblLayout w:type="fixed"/>
          <w:tblCellMar>
            <w:top w:w="0" w:type="dxa"/>
            <w:left w:w="0" w:type="dxa"/>
            <w:bottom w:w="0" w:type="dxa"/>
            <w:right w:w="0" w:type="dxa"/>
          </w:tblCellMar>
        </w:tblPrEx>
        <w:trPr>
          <w:trHeight w:val="450" w:hRule="atLeast"/>
          <w:tblCellSpacing w:w="0" w:type="dxa"/>
        </w:trPr>
        <w:tc>
          <w:tcPr>
            <w:tcW w:w="1155"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美洲、非洲</w:t>
            </w:r>
          </w:p>
        </w:tc>
        <w:tc>
          <w:tcPr>
            <w:tcW w:w="1560" w:type="dxa"/>
            <w:vMerge w:val="restart"/>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国际旅费、国外城市间交通费、会议期间住宿费、会议注册费、签证费、保险费等合理费用</w:t>
            </w:r>
          </w:p>
        </w:tc>
        <w:tc>
          <w:tcPr>
            <w:tcW w:w="91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1.5</w:t>
            </w:r>
          </w:p>
        </w:tc>
        <w:tc>
          <w:tcPr>
            <w:tcW w:w="10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1.2</w:t>
            </w:r>
          </w:p>
        </w:tc>
        <w:tc>
          <w:tcPr>
            <w:tcW w:w="106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1.2</w:t>
            </w:r>
          </w:p>
        </w:tc>
        <w:tc>
          <w:tcPr>
            <w:tcW w:w="1140"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0.8</w:t>
            </w:r>
          </w:p>
        </w:tc>
        <w:tc>
          <w:tcPr>
            <w:tcW w:w="16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0.8</w:t>
            </w:r>
          </w:p>
        </w:tc>
      </w:tr>
      <w:tr>
        <w:tblPrEx>
          <w:tblLayout w:type="fixed"/>
          <w:tblCellMar>
            <w:top w:w="0" w:type="dxa"/>
            <w:left w:w="0" w:type="dxa"/>
            <w:bottom w:w="0" w:type="dxa"/>
            <w:right w:w="0" w:type="dxa"/>
          </w:tblCellMar>
        </w:tblPrEx>
        <w:trPr>
          <w:tblCellSpacing w:w="0" w:type="dxa"/>
        </w:trPr>
        <w:tc>
          <w:tcPr>
            <w:tcW w:w="1155"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欧洲、大洋洲</w:t>
            </w:r>
          </w:p>
        </w:tc>
        <w:tc>
          <w:tcPr>
            <w:tcW w:w="1560" w:type="dxa"/>
            <w:vMerge w:val="continue"/>
            <w:tcBorders>
              <w:top w:val="nil"/>
              <w:left w:val="nil"/>
              <w:bottom w:val="single" w:color="auto" w:sz="6" w:space="0"/>
              <w:right w:val="single" w:color="auto" w:sz="6" w:space="0"/>
            </w:tcBorders>
            <w:shd w:val="clear" w:color="auto" w:fill="auto"/>
            <w:tcMar>
              <w:left w:w="105" w:type="dxa"/>
              <w:right w:w="105" w:type="dxa"/>
            </w:tcMar>
          </w:tcPr>
          <w:p>
            <w:pPr>
              <w:rPr>
                <w:rFonts w:asciiTheme="minorEastAsia" w:hAnsiTheme="minorEastAsia" w:cstheme="minorEastAsia"/>
                <w:szCs w:val="21"/>
              </w:rPr>
            </w:pPr>
          </w:p>
        </w:tc>
        <w:tc>
          <w:tcPr>
            <w:tcW w:w="91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1.2</w:t>
            </w:r>
          </w:p>
        </w:tc>
        <w:tc>
          <w:tcPr>
            <w:tcW w:w="10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0.9</w:t>
            </w:r>
          </w:p>
        </w:tc>
        <w:tc>
          <w:tcPr>
            <w:tcW w:w="106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0.9</w:t>
            </w:r>
          </w:p>
        </w:tc>
        <w:tc>
          <w:tcPr>
            <w:tcW w:w="1140"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0.6</w:t>
            </w:r>
          </w:p>
        </w:tc>
        <w:tc>
          <w:tcPr>
            <w:tcW w:w="16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0.6</w:t>
            </w:r>
          </w:p>
        </w:tc>
      </w:tr>
      <w:tr>
        <w:tblPrEx>
          <w:tblLayout w:type="fixed"/>
          <w:tblCellMar>
            <w:top w:w="0" w:type="dxa"/>
            <w:left w:w="0" w:type="dxa"/>
            <w:bottom w:w="0" w:type="dxa"/>
            <w:right w:w="0" w:type="dxa"/>
          </w:tblCellMar>
        </w:tblPrEx>
        <w:trPr>
          <w:tblCellSpacing w:w="0" w:type="dxa"/>
        </w:trPr>
        <w:tc>
          <w:tcPr>
            <w:tcW w:w="1155"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亚洲</w:t>
            </w:r>
          </w:p>
        </w:tc>
        <w:tc>
          <w:tcPr>
            <w:tcW w:w="1560" w:type="dxa"/>
            <w:vMerge w:val="continue"/>
            <w:tcBorders>
              <w:top w:val="nil"/>
              <w:left w:val="nil"/>
              <w:bottom w:val="single" w:color="auto" w:sz="6" w:space="0"/>
              <w:right w:val="single" w:color="auto" w:sz="6" w:space="0"/>
            </w:tcBorders>
            <w:shd w:val="clear" w:color="auto" w:fill="auto"/>
            <w:tcMar>
              <w:left w:w="105" w:type="dxa"/>
              <w:right w:w="105" w:type="dxa"/>
            </w:tcMar>
          </w:tcPr>
          <w:p>
            <w:pPr>
              <w:rPr>
                <w:rFonts w:asciiTheme="minorEastAsia" w:hAnsiTheme="minorEastAsia" w:cstheme="minorEastAsia"/>
                <w:szCs w:val="21"/>
              </w:rPr>
            </w:pPr>
          </w:p>
        </w:tc>
        <w:tc>
          <w:tcPr>
            <w:tcW w:w="91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0.9</w:t>
            </w:r>
          </w:p>
        </w:tc>
        <w:tc>
          <w:tcPr>
            <w:tcW w:w="10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0.6</w:t>
            </w:r>
          </w:p>
        </w:tc>
        <w:tc>
          <w:tcPr>
            <w:tcW w:w="106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0.6</w:t>
            </w:r>
          </w:p>
        </w:tc>
        <w:tc>
          <w:tcPr>
            <w:tcW w:w="1140"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0.4</w:t>
            </w:r>
          </w:p>
        </w:tc>
        <w:tc>
          <w:tcPr>
            <w:tcW w:w="1635"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spacing w:line="288" w:lineRule="auto"/>
              <w:rPr>
                <w:rFonts w:asciiTheme="minorEastAsia" w:hAnsiTheme="minorEastAsia" w:cstheme="minorEastAsia"/>
                <w:sz w:val="21"/>
                <w:szCs w:val="21"/>
              </w:rPr>
            </w:pPr>
            <w:r>
              <w:rPr>
                <w:rFonts w:hint="eastAsia" w:asciiTheme="minorEastAsia" w:hAnsiTheme="minorEastAsia" w:cstheme="minorEastAsia"/>
                <w:spacing w:val="15"/>
                <w:sz w:val="21"/>
                <w:szCs w:val="21"/>
              </w:rPr>
              <w:t>0.4</w:t>
            </w:r>
          </w:p>
        </w:tc>
      </w:tr>
    </w:tbl>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3.如受资助的研究生回国后提交机票（登机牌、行程单及发票）、住宿费、会议注册费及签证费等发票在额度范围内实报实销，不足部分由导师科研项目经费或者个人承担。</w:t>
      </w:r>
    </w:p>
    <w:p>
      <w:pPr>
        <w:pStyle w:val="6"/>
        <w:widowControl/>
        <w:spacing w:line="288" w:lineRule="auto"/>
        <w:ind w:firstLine="420"/>
        <w:rPr>
          <w:rFonts w:asciiTheme="minorEastAsia" w:hAnsiTheme="minorEastAsia" w:cstheme="minorEastAsia"/>
          <w:sz w:val="21"/>
          <w:szCs w:val="21"/>
        </w:rPr>
      </w:pPr>
      <w:r>
        <w:rPr>
          <w:rStyle w:val="9"/>
          <w:rFonts w:hint="eastAsia" w:asciiTheme="minorEastAsia" w:hAnsiTheme="minorEastAsia" w:cstheme="minorEastAsia"/>
          <w:sz w:val="21"/>
          <w:szCs w:val="21"/>
        </w:rPr>
        <w:t>四、经费支持、使用及管理</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spacing w:val="15"/>
          <w:sz w:val="21"/>
          <w:szCs w:val="21"/>
        </w:rPr>
        <w:t>学校设立“研究生参加国际学术会议基金”专项基金，用以资助博士、硕士研究生参加国际学术会议。</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spacing w:val="15"/>
          <w:sz w:val="21"/>
          <w:szCs w:val="21"/>
        </w:rPr>
        <w:t>研究生参加国际学术会议专项基金的使用必须符合学校相关规章制度的要求。已获资助的研究生因个人原因未参加会议或者放弃资助，在学期间将不</w:t>
      </w:r>
      <w:bookmarkStart w:id="0" w:name="_GoBack"/>
      <w:bookmarkEnd w:id="0"/>
      <w:r>
        <w:rPr>
          <w:rFonts w:hint="eastAsia" w:asciiTheme="minorEastAsia" w:hAnsiTheme="minorEastAsia" w:cstheme="minorEastAsia"/>
          <w:spacing w:val="15"/>
          <w:sz w:val="21"/>
          <w:szCs w:val="21"/>
        </w:rPr>
        <w:t>能再次申请。</w:t>
      </w:r>
    </w:p>
    <w:p>
      <w:pPr>
        <w:pStyle w:val="6"/>
        <w:widowControl/>
        <w:spacing w:line="288" w:lineRule="auto"/>
        <w:ind w:firstLine="420"/>
        <w:rPr>
          <w:rStyle w:val="9"/>
          <w:rFonts w:asciiTheme="minorEastAsia" w:hAnsiTheme="minorEastAsia" w:cstheme="minorEastAsia"/>
          <w:spacing w:val="15"/>
          <w:sz w:val="21"/>
          <w:szCs w:val="21"/>
        </w:rPr>
      </w:pPr>
      <w:r>
        <w:rPr>
          <w:rFonts w:hint="eastAsia" w:asciiTheme="minorEastAsia" w:hAnsiTheme="minorEastAsia" w:cstheme="minorEastAsia"/>
          <w:sz w:val="21"/>
          <w:szCs w:val="21"/>
        </w:rPr>
        <w:t>3.</w:t>
      </w:r>
      <w:r>
        <w:rPr>
          <w:rStyle w:val="9"/>
          <w:rFonts w:hint="eastAsia" w:asciiTheme="minorEastAsia" w:hAnsiTheme="minorEastAsia" w:cstheme="minorEastAsia"/>
          <w:spacing w:val="15"/>
          <w:sz w:val="21"/>
          <w:szCs w:val="21"/>
        </w:rPr>
        <w:t>研究生需严格按照学校规章制度，不能以参加国际学术会议为由影响正常教学秩序，例如缺课、缺考、缓考、重考等。</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z w:val="21"/>
          <w:szCs w:val="21"/>
        </w:rPr>
        <w:t>4.</w:t>
      </w:r>
      <w:r>
        <w:rPr>
          <w:rFonts w:hint="eastAsia" w:asciiTheme="minorEastAsia" w:hAnsiTheme="minorEastAsia" w:cstheme="minorEastAsia"/>
          <w:spacing w:val="15"/>
          <w:sz w:val="21"/>
          <w:szCs w:val="21"/>
        </w:rPr>
        <w:t>获资助者需参加研究生院举行的</w:t>
      </w:r>
      <w:r>
        <w:rPr>
          <w:rFonts w:hint="eastAsia" w:asciiTheme="minorEastAsia" w:hAnsiTheme="minorEastAsia" w:cstheme="minorEastAsia"/>
          <w:b/>
          <w:bCs/>
          <w:spacing w:val="15"/>
          <w:sz w:val="21"/>
          <w:szCs w:val="21"/>
        </w:rPr>
        <w:t>行前会议</w:t>
      </w:r>
      <w:r>
        <w:rPr>
          <w:rFonts w:hint="eastAsia" w:asciiTheme="minorEastAsia" w:hAnsiTheme="minorEastAsia" w:cstheme="minorEastAsia"/>
          <w:spacing w:val="15"/>
          <w:sz w:val="21"/>
          <w:szCs w:val="21"/>
        </w:rPr>
        <w:t>（另行通知），并按照</w:t>
      </w:r>
      <w:r>
        <w:rPr>
          <w:rStyle w:val="9"/>
          <w:rFonts w:hint="eastAsia" w:asciiTheme="minorEastAsia" w:hAnsiTheme="minorEastAsia" w:cstheme="minorEastAsia"/>
          <w:spacing w:val="15"/>
          <w:sz w:val="21"/>
          <w:szCs w:val="21"/>
        </w:rPr>
        <w:t>“同济大学研究生出国(境)管理规定”</w:t>
      </w:r>
      <w:r>
        <w:rPr>
          <w:rFonts w:hint="eastAsia" w:asciiTheme="minorEastAsia" w:hAnsiTheme="minorEastAsia" w:cstheme="minorEastAsia"/>
          <w:spacing w:val="15"/>
          <w:sz w:val="21"/>
          <w:szCs w:val="21"/>
        </w:rPr>
        <w:t>办理相应的出国手续。会议结束后一个月内需在校内作公开学术交流报告，同时需在会议结束后一个月内按要求将参会总结及报销材料递交研究生院审核，经审核通过后，凭相关票据到财务处报销资助经费。寒暑假顺延。</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z w:val="21"/>
          <w:szCs w:val="21"/>
        </w:rPr>
        <w:t>5.</w:t>
      </w:r>
      <w:r>
        <w:rPr>
          <w:rFonts w:hint="eastAsia" w:asciiTheme="minorEastAsia" w:hAnsiTheme="minorEastAsia" w:cstheme="minorEastAsia"/>
          <w:spacing w:val="15"/>
          <w:sz w:val="21"/>
          <w:szCs w:val="21"/>
        </w:rPr>
        <w:t>根据财务处规定，本次会议获资助者</w:t>
      </w:r>
      <w:r>
        <w:rPr>
          <w:rStyle w:val="9"/>
          <w:rFonts w:hint="eastAsia" w:asciiTheme="minorEastAsia" w:hAnsiTheme="minorEastAsia" w:cstheme="minorEastAsia"/>
          <w:spacing w:val="15"/>
          <w:sz w:val="21"/>
          <w:szCs w:val="21"/>
        </w:rPr>
        <w:t>务必在2019年12月20日前完成报销，</w:t>
      </w:r>
      <w:r>
        <w:rPr>
          <w:rFonts w:hint="eastAsia" w:asciiTheme="minorEastAsia" w:hAnsiTheme="minorEastAsia" w:cstheme="minorEastAsia"/>
          <w:b/>
          <w:spacing w:val="15"/>
          <w:sz w:val="21"/>
          <w:szCs w:val="21"/>
        </w:rPr>
        <w:t>逾期不再受理</w:t>
      </w:r>
      <w:r>
        <w:rPr>
          <w:rFonts w:hint="eastAsia" w:asciiTheme="minorEastAsia" w:hAnsiTheme="minorEastAsia" w:cstheme="minorEastAsia"/>
          <w:spacing w:val="15"/>
          <w:sz w:val="21"/>
          <w:szCs w:val="21"/>
        </w:rPr>
        <w:t>。报销材料需向研究生院（瑞安楼506）提交：论文集封面、论文集目录、论文集中本人会议论文扫描电子版；海报电子版；报告人宣读论文或海报张贴的会议日程安排电子版（含报告人名字、论文题目，由会议主办方印刷）；国际会议总结报告（纸质版本一份，含个人宣读或海报照片）；出国任务批件原件、签证费发票、往返机票发票原件、登机牌与行程单、会议注册费或住宿费收据发票、及相应银行付款记录；护照复印件（含照片页、签证页及出入境盖章页）。经研究生院审核通过后，凭相关票据到财务处报销资助经费。</w:t>
      </w:r>
      <w:r>
        <w:rPr>
          <w:rStyle w:val="9"/>
          <w:rFonts w:hint="eastAsia" w:asciiTheme="minorEastAsia" w:hAnsiTheme="minorEastAsia" w:cstheme="minorEastAsia"/>
          <w:spacing w:val="15"/>
          <w:sz w:val="21"/>
          <w:szCs w:val="21"/>
        </w:rPr>
        <w:t>详细报销具体流程请见研究生院网站--国际交流—国际会议。</w:t>
      </w:r>
    </w:p>
    <w:p>
      <w:pPr>
        <w:pStyle w:val="6"/>
        <w:widowControl/>
        <w:spacing w:line="288" w:lineRule="auto"/>
        <w:ind w:left="6750" w:firstLine="420"/>
        <w:rPr>
          <w:rFonts w:asciiTheme="minorEastAsia" w:hAnsiTheme="minorEastAsia" w:cstheme="minorEastAsia"/>
          <w:sz w:val="21"/>
          <w:szCs w:val="21"/>
        </w:rPr>
      </w:pPr>
    </w:p>
    <w:p>
      <w:pPr>
        <w:pStyle w:val="6"/>
        <w:widowControl/>
        <w:spacing w:line="288" w:lineRule="auto"/>
        <w:jc w:val="right"/>
        <w:rPr>
          <w:rFonts w:asciiTheme="minorEastAsia" w:hAnsiTheme="minorEastAsia" w:cstheme="minorEastAsia"/>
          <w:sz w:val="21"/>
          <w:szCs w:val="21"/>
        </w:rPr>
      </w:pPr>
      <w:r>
        <w:rPr>
          <w:rFonts w:hint="eastAsia" w:asciiTheme="minorEastAsia" w:hAnsiTheme="minorEastAsia" w:cstheme="minorEastAsia"/>
          <w:spacing w:val="15"/>
          <w:sz w:val="21"/>
          <w:szCs w:val="21"/>
        </w:rPr>
        <w:t>研究生院</w:t>
      </w:r>
    </w:p>
    <w:p>
      <w:pPr>
        <w:pStyle w:val="6"/>
        <w:widowControl/>
        <w:spacing w:line="288" w:lineRule="auto"/>
        <w:jc w:val="right"/>
        <w:rPr>
          <w:rFonts w:asciiTheme="minorEastAsia" w:hAnsiTheme="minorEastAsia" w:cstheme="minorEastAsia"/>
          <w:sz w:val="21"/>
          <w:szCs w:val="21"/>
        </w:rPr>
      </w:pPr>
      <w:r>
        <w:rPr>
          <w:rFonts w:hint="eastAsia" w:asciiTheme="minorEastAsia" w:hAnsiTheme="minorEastAsia" w:cstheme="minorEastAsia"/>
          <w:spacing w:val="15"/>
          <w:sz w:val="21"/>
          <w:szCs w:val="21"/>
        </w:rPr>
        <w:t>2019年10月12日</w:t>
      </w:r>
    </w:p>
    <w:p>
      <w:pPr>
        <w:pStyle w:val="6"/>
        <w:widowControl/>
        <w:spacing w:line="480" w:lineRule="atLeast"/>
        <w:ind w:firstLine="420"/>
        <w:rPr>
          <w:rFonts w:asciiTheme="minorEastAsia" w:hAnsiTheme="minorEastAsia" w:cstheme="minorEastAsia"/>
          <w:sz w:val="21"/>
          <w:szCs w:val="21"/>
        </w:rPr>
      </w:pPr>
      <w:r>
        <w:rPr>
          <w:rStyle w:val="9"/>
          <w:rFonts w:hint="eastAsia" w:asciiTheme="minorEastAsia" w:hAnsiTheme="minorEastAsia" w:cstheme="minorEastAsia"/>
          <w:sz w:val="21"/>
          <w:szCs w:val="21"/>
        </w:rPr>
        <w:t>附件一：</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1.研究生国际学术会议奖励基金申请表</w:t>
      </w:r>
    </w:p>
    <w:p>
      <w:pPr>
        <w:pStyle w:val="6"/>
        <w:widowControl/>
        <w:spacing w:line="288" w:lineRule="auto"/>
        <w:ind w:firstLine="420"/>
        <w:rPr>
          <w:rFonts w:asciiTheme="minorEastAsia" w:hAnsiTheme="minorEastAsia" w:cstheme="minorEastAsia"/>
          <w:sz w:val="21"/>
          <w:szCs w:val="21"/>
        </w:rPr>
      </w:pPr>
      <w:r>
        <w:rPr>
          <w:rFonts w:hint="eastAsia" w:asciiTheme="minorEastAsia" w:hAnsiTheme="minorEastAsia" w:cstheme="minorEastAsia"/>
          <w:spacing w:val="15"/>
          <w:sz w:val="21"/>
          <w:szCs w:val="21"/>
        </w:rPr>
        <w:t>2.研究生赴国外参加国际学术会议总结模版</w:t>
      </w:r>
    </w:p>
    <w:p>
      <w:pPr>
        <w:pStyle w:val="6"/>
        <w:widowControl/>
        <w:spacing w:line="288" w:lineRule="auto"/>
        <w:ind w:firstLine="420"/>
        <w:rPr>
          <w:rFonts w:asciiTheme="minorEastAsia" w:hAnsiTheme="minorEastAsia" w:cstheme="minorEastAsia"/>
          <w:sz w:val="21"/>
          <w:szCs w:val="21"/>
        </w:rPr>
      </w:pPr>
      <w:r>
        <w:rPr>
          <w:rStyle w:val="9"/>
          <w:rFonts w:hint="eastAsia" w:asciiTheme="minorEastAsia" w:hAnsiTheme="minorEastAsia" w:cstheme="minorEastAsia"/>
          <w:spacing w:val="15"/>
          <w:sz w:val="21"/>
          <w:szCs w:val="21"/>
        </w:rPr>
        <w:t>附件二：</w:t>
      </w:r>
    </w:p>
    <w:p>
      <w:pPr>
        <w:pStyle w:val="6"/>
        <w:widowControl/>
        <w:spacing w:line="288" w:lineRule="auto"/>
        <w:ind w:firstLine="420"/>
        <w:rPr>
          <w:rFonts w:asciiTheme="minorEastAsia" w:hAnsiTheme="minorEastAsia" w:cstheme="minorEastAsia"/>
          <w:spacing w:val="15"/>
          <w:sz w:val="21"/>
          <w:szCs w:val="21"/>
        </w:rPr>
      </w:pPr>
      <w:r>
        <w:rPr>
          <w:rFonts w:hint="eastAsia" w:asciiTheme="minorEastAsia" w:hAnsiTheme="minorEastAsia" w:cstheme="minorEastAsia"/>
          <w:spacing w:val="15"/>
          <w:sz w:val="21"/>
          <w:szCs w:val="21"/>
        </w:rPr>
        <w:t>国际会议信息汇总表</w:t>
      </w:r>
    </w:p>
    <w:p>
      <w:pPr>
        <w:pStyle w:val="6"/>
        <w:widowControl/>
        <w:spacing w:line="288" w:lineRule="auto"/>
        <w:ind w:firstLine="420"/>
        <w:rPr>
          <w:rStyle w:val="9"/>
          <w:rFonts w:asciiTheme="minorEastAsia" w:hAnsiTheme="minorEastAsia" w:cstheme="minorEastAsia"/>
          <w:spacing w:val="15"/>
          <w:sz w:val="21"/>
          <w:szCs w:val="21"/>
        </w:rPr>
      </w:pPr>
      <w:r>
        <w:rPr>
          <w:rStyle w:val="9"/>
          <w:rFonts w:hint="eastAsia" w:asciiTheme="minorEastAsia" w:hAnsiTheme="minorEastAsia" w:cstheme="minorEastAsia"/>
          <w:spacing w:val="15"/>
          <w:sz w:val="21"/>
          <w:szCs w:val="21"/>
        </w:rPr>
        <w:t>附件三：</w:t>
      </w:r>
    </w:p>
    <w:p>
      <w:pPr>
        <w:pStyle w:val="6"/>
        <w:widowControl/>
        <w:spacing w:line="288" w:lineRule="auto"/>
        <w:ind w:firstLine="420"/>
        <w:rPr>
          <w:rStyle w:val="9"/>
          <w:rFonts w:asciiTheme="minorEastAsia" w:hAnsiTheme="minorEastAsia" w:cstheme="minorEastAsia"/>
          <w:b w:val="0"/>
          <w:bCs/>
          <w:spacing w:val="15"/>
          <w:sz w:val="21"/>
          <w:szCs w:val="21"/>
        </w:rPr>
      </w:pPr>
      <w:r>
        <w:rPr>
          <w:rStyle w:val="9"/>
          <w:rFonts w:hint="eastAsia" w:asciiTheme="minorEastAsia" w:hAnsiTheme="minorEastAsia" w:cstheme="minorEastAsia"/>
          <w:b w:val="0"/>
          <w:bCs/>
          <w:spacing w:val="15"/>
          <w:sz w:val="21"/>
          <w:szCs w:val="21"/>
        </w:rPr>
        <w:t>《同济大学各院系(学科)研究生重要国际学术会议目录》（2015年12月修订版）</w:t>
      </w:r>
    </w:p>
    <w:p>
      <w:pPr>
        <w:rPr>
          <w:rFonts w:asciiTheme="minorEastAsia" w:hAnsiTheme="minorEastAsia" w:cstheme="minorEastAsia"/>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ascii="Arial Narrow" w:hAnsi="Arial Narrow" w:cs="Arial"/>
        <w:b/>
        <w:sz w:val="30"/>
        <w:szCs w:val="30"/>
      </w:rPr>
      <w:drawing>
        <wp:inline distT="0" distB="0" distL="0" distR="0">
          <wp:extent cx="2028825" cy="525780"/>
          <wp:effectExtent l="19050" t="0" r="9525" b="0"/>
          <wp:docPr id="1" name="图片 1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logo3"/>
                  <pic:cNvPicPr>
                    <a:picLocks noChangeAspect="1" noChangeArrowheads="1"/>
                  </pic:cNvPicPr>
                </pic:nvPicPr>
                <pic:blipFill>
                  <a:blip r:embed="rId1"/>
                  <a:srcRect/>
                  <a:stretch>
                    <a:fillRect/>
                  </a:stretch>
                </pic:blipFill>
                <pic:spPr>
                  <a:xfrm>
                    <a:off x="0" y="0"/>
                    <a:ext cx="2028825" cy="525992"/>
                  </a:xfrm>
                  <a:prstGeom prst="rect">
                    <a:avLst/>
                  </a:prstGeom>
                  <a:noFill/>
                  <a:ln w="9525">
                    <a:noFill/>
                    <a:miter lim="800000"/>
                    <a:headEnd/>
                    <a:tailEnd/>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60CF"/>
    <w:rsid w:val="00122A45"/>
    <w:rsid w:val="00140C84"/>
    <w:rsid w:val="00157FBE"/>
    <w:rsid w:val="001A3383"/>
    <w:rsid w:val="00460FAB"/>
    <w:rsid w:val="004C10C7"/>
    <w:rsid w:val="005860CF"/>
    <w:rsid w:val="005D785B"/>
    <w:rsid w:val="006249F0"/>
    <w:rsid w:val="006B527F"/>
    <w:rsid w:val="00731FCE"/>
    <w:rsid w:val="00741FD8"/>
    <w:rsid w:val="0089054A"/>
    <w:rsid w:val="008C6E3D"/>
    <w:rsid w:val="00AB281E"/>
    <w:rsid w:val="00B43B8D"/>
    <w:rsid w:val="00C44845"/>
    <w:rsid w:val="00C81F7A"/>
    <w:rsid w:val="00D26985"/>
    <w:rsid w:val="00DF6275"/>
    <w:rsid w:val="00EF0B35"/>
    <w:rsid w:val="00F31634"/>
    <w:rsid w:val="00F37758"/>
    <w:rsid w:val="011F6A6C"/>
    <w:rsid w:val="058D198B"/>
    <w:rsid w:val="05DA28A7"/>
    <w:rsid w:val="11893440"/>
    <w:rsid w:val="127E2EC7"/>
    <w:rsid w:val="12C9659F"/>
    <w:rsid w:val="137122A1"/>
    <w:rsid w:val="1375276C"/>
    <w:rsid w:val="152174F9"/>
    <w:rsid w:val="15316578"/>
    <w:rsid w:val="1E5A1CFC"/>
    <w:rsid w:val="215A0920"/>
    <w:rsid w:val="26BA0AD5"/>
    <w:rsid w:val="295329B6"/>
    <w:rsid w:val="47656D3B"/>
    <w:rsid w:val="4CB002E4"/>
    <w:rsid w:val="52493930"/>
    <w:rsid w:val="53D83D37"/>
    <w:rsid w:val="570D1EE4"/>
    <w:rsid w:val="5FF36329"/>
    <w:rsid w:val="6E8F4130"/>
    <w:rsid w:val="70115BFF"/>
    <w:rsid w:val="702B0802"/>
    <w:rsid w:val="703825C4"/>
    <w:rsid w:val="74152830"/>
    <w:rsid w:val="74896602"/>
    <w:rsid w:val="7A5140DA"/>
    <w:rsid w:val="7B785132"/>
    <w:rsid w:val="7FF13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jc w:val="left"/>
      <w:outlineLvl w:val="5"/>
    </w:pPr>
    <w:rPr>
      <w:rFonts w:hint="eastAsia" w:ascii="宋体" w:hAnsi="宋体" w:eastAsia="宋体" w:cs="Times New Roman"/>
      <w:b/>
      <w:kern w:val="0"/>
      <w:sz w:val="15"/>
      <w:szCs w:val="15"/>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800080"/>
      <w:sz w:val="21"/>
      <w:szCs w:val="21"/>
      <w:u w:val="none"/>
    </w:rPr>
  </w:style>
  <w:style w:type="character" w:styleId="11">
    <w:name w:val="Hyperlink"/>
    <w:basedOn w:val="8"/>
    <w:qFormat/>
    <w:uiPriority w:val="0"/>
    <w:rPr>
      <w:color w:val="0000FF"/>
      <w:sz w:val="21"/>
      <w:szCs w:val="21"/>
      <w:u w:val="none"/>
    </w:rPr>
  </w:style>
  <w:style w:type="paragraph" w:customStyle="1" w:styleId="12">
    <w:name w:val="nrfbt"/>
    <w:basedOn w:val="1"/>
    <w:qFormat/>
    <w:uiPriority w:val="0"/>
    <w:pPr>
      <w:jc w:val="left"/>
    </w:pPr>
    <w:rPr>
      <w:rFonts w:cs="Times New Roman"/>
      <w:color w:val="333333"/>
      <w:kern w:val="0"/>
      <w:sz w:val="24"/>
    </w:rPr>
  </w:style>
  <w:style w:type="paragraph" w:customStyle="1" w:styleId="13">
    <w:name w:val="_Style 9"/>
    <w:basedOn w:val="1"/>
    <w:next w:val="1"/>
    <w:qFormat/>
    <w:uiPriority w:val="0"/>
    <w:pPr>
      <w:pBdr>
        <w:bottom w:val="single" w:color="auto" w:sz="6" w:space="1"/>
      </w:pBdr>
      <w:jc w:val="center"/>
    </w:pPr>
    <w:rPr>
      <w:rFonts w:ascii="Arial" w:eastAsia="宋体"/>
      <w:vanish/>
      <w:sz w:val="16"/>
    </w:rPr>
  </w:style>
  <w:style w:type="paragraph" w:customStyle="1" w:styleId="14">
    <w:name w:val="_Style 10"/>
    <w:basedOn w:val="1"/>
    <w:next w:val="1"/>
    <w:qFormat/>
    <w:uiPriority w:val="0"/>
    <w:pPr>
      <w:pBdr>
        <w:top w:val="single" w:color="auto" w:sz="6" w:space="1"/>
      </w:pBdr>
      <w:jc w:val="center"/>
    </w:pPr>
    <w:rPr>
      <w:rFonts w:ascii="Arial" w:eastAsia="宋体"/>
      <w:vanish/>
      <w:sz w:val="16"/>
    </w:rPr>
  </w:style>
  <w:style w:type="character" w:customStyle="1" w:styleId="15">
    <w:name w:val="nrriqi1"/>
    <w:basedOn w:val="8"/>
    <w:qFormat/>
    <w:uiPriority w:val="0"/>
    <w:rPr>
      <w:color w:val="9E9E9E"/>
      <w:sz w:val="21"/>
      <w:szCs w:val="21"/>
    </w:rPr>
  </w:style>
  <w:style w:type="character" w:customStyle="1" w:styleId="16">
    <w:name w:val="页眉 字符"/>
    <w:basedOn w:val="8"/>
    <w:link w:val="5"/>
    <w:qFormat/>
    <w:uiPriority w:val="99"/>
    <w:rPr>
      <w:rFonts w:asciiTheme="minorHAnsi" w:hAnsiTheme="minorHAnsi" w:eastAsiaTheme="minorEastAsia" w:cstheme="minorBidi"/>
      <w:kern w:val="2"/>
      <w:sz w:val="18"/>
      <w:szCs w:val="18"/>
    </w:rPr>
  </w:style>
  <w:style w:type="character" w:customStyle="1" w:styleId="17">
    <w:name w:val="页脚 字符"/>
    <w:basedOn w:val="8"/>
    <w:link w:val="4"/>
    <w:qFormat/>
    <w:uiPriority w:val="0"/>
    <w:rPr>
      <w:rFonts w:asciiTheme="minorHAnsi" w:hAnsiTheme="minorHAnsi" w:eastAsiaTheme="minorEastAsia" w:cstheme="minorBidi"/>
      <w:kern w:val="2"/>
      <w:sz w:val="18"/>
      <w:szCs w:val="18"/>
    </w:rPr>
  </w:style>
  <w:style w:type="character" w:customStyle="1" w:styleId="18">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447</Words>
  <Characters>2550</Characters>
  <Lines>21</Lines>
  <Paragraphs>5</Paragraphs>
  <TotalTime>38</TotalTime>
  <ScaleCrop>false</ScaleCrop>
  <LinksUpToDate>false</LinksUpToDate>
  <CharactersWithSpaces>2992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2019-07-11T08:44:00Z</dcterms:created>
  <dc:creator>Administrator</dc:creator>
  <cp:lastModifiedBy>喻</cp:lastModifiedBy>
  <cp:lastPrinted>2019-10-16T01:48:20Z</cp:lastPrinted>
  <dcterms:modified xsi:type="dcterms:W3CDTF">2019-10-16T01:50:03Z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